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40" w:lineRule="exact"/>
        <w:jc w:val="center"/>
        <w:rPr>
          <w:rFonts w:hint="eastAsia" w:ascii="宋体" w:hAnsi="宋体" w:eastAsia="宋体" w:cs="宋体"/>
          <w:b/>
          <w:color w:val="000000"/>
          <w:kern w:val="0"/>
          <w:sz w:val="44"/>
          <w:szCs w:val="44"/>
          <w:lang w:eastAsia="zh-CN"/>
        </w:rPr>
      </w:pPr>
      <w:r>
        <w:rPr>
          <w:rFonts w:hint="eastAsia" w:ascii="宋体" w:hAnsi="宋体" w:eastAsia="宋体" w:cs="宋体"/>
          <w:b/>
          <w:color w:val="000000"/>
          <w:kern w:val="0"/>
          <w:sz w:val="44"/>
          <w:szCs w:val="44"/>
          <w:lang w:eastAsia="zh-CN"/>
        </w:rPr>
        <w:t>辽宁省会计师事务所内部培训管理办法</w:t>
      </w:r>
    </w:p>
    <w:p>
      <w:pPr>
        <w:spacing w:line="440" w:lineRule="exact"/>
        <w:jc w:val="center"/>
        <w:rPr>
          <w:rFonts w:ascii="宋体" w:hAnsi="宋体" w:eastAsia="宋体" w:cs="宋体"/>
          <w:b/>
          <w:color w:val="000000"/>
          <w:kern w:val="0"/>
          <w:sz w:val="44"/>
          <w:szCs w:val="44"/>
        </w:rPr>
      </w:pPr>
    </w:p>
    <w:p>
      <w:pPr>
        <w:jc w:val="center"/>
        <w:rPr>
          <w:rFonts w:ascii="黑体" w:hAnsi="黑体" w:eastAsia="黑体"/>
          <w:sz w:val="32"/>
          <w:szCs w:val="32"/>
        </w:rPr>
      </w:pPr>
    </w:p>
    <w:p>
      <w:pPr>
        <w:spacing w:line="560" w:lineRule="exact"/>
        <w:jc w:val="center"/>
        <w:rPr>
          <w:rFonts w:hint="eastAsia" w:ascii="仿宋" w:hAnsi="仿宋" w:eastAsia="黑体"/>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一</w:t>
      </w:r>
      <w:r>
        <w:rPr>
          <w:rFonts w:hint="eastAsia" w:ascii="黑体" w:hAnsi="黑体" w:eastAsia="黑体"/>
          <w:sz w:val="32"/>
          <w:szCs w:val="32"/>
        </w:rPr>
        <w:t>章</w:t>
      </w:r>
      <w:r>
        <w:rPr>
          <w:rFonts w:hint="eastAsia" w:ascii="黑体" w:hAnsi="黑体" w:eastAsia="黑体"/>
          <w:sz w:val="32"/>
          <w:szCs w:val="32"/>
          <w:lang w:val="en-US" w:eastAsia="zh-CN"/>
        </w:rPr>
        <w:t xml:space="preserve"> 总则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一</w:t>
      </w:r>
      <w:r>
        <w:rPr>
          <w:rFonts w:hint="eastAsia" w:ascii="仿宋" w:hAnsi="仿宋" w:eastAsia="仿宋"/>
          <w:sz w:val="32"/>
          <w:szCs w:val="32"/>
        </w:rPr>
        <w:t>条</w:t>
      </w:r>
      <w:r>
        <w:rPr>
          <w:rFonts w:hint="eastAsia" w:ascii="仿宋" w:hAnsi="仿宋" w:eastAsia="仿宋"/>
          <w:sz w:val="32"/>
          <w:szCs w:val="32"/>
          <w:lang w:val="en-US" w:eastAsia="zh-CN"/>
        </w:rPr>
        <w:t xml:space="preserve"> </w:t>
      </w:r>
      <w:r>
        <w:rPr>
          <w:rFonts w:hint="eastAsia" w:ascii="仿宋" w:hAnsi="仿宋" w:eastAsia="仿宋"/>
          <w:sz w:val="32"/>
          <w:szCs w:val="32"/>
        </w:rPr>
        <w:t>为规范</w:t>
      </w:r>
      <w:r>
        <w:rPr>
          <w:rFonts w:hint="eastAsia" w:ascii="仿宋" w:hAnsi="仿宋" w:eastAsia="仿宋"/>
          <w:sz w:val="32"/>
          <w:szCs w:val="32"/>
          <w:lang w:eastAsia="zh-CN"/>
        </w:rPr>
        <w:t>辽宁省会计师事务所内部培训管理</w:t>
      </w:r>
      <w:r>
        <w:rPr>
          <w:rFonts w:hint="eastAsia" w:ascii="仿宋" w:hAnsi="仿宋" w:eastAsia="仿宋"/>
          <w:sz w:val="32"/>
          <w:szCs w:val="32"/>
        </w:rPr>
        <w:t>工作，不断保持和提升注册会计师的专业胜任能力，根据《</w:t>
      </w:r>
      <w:r>
        <w:rPr>
          <w:rFonts w:hint="eastAsia" w:ascii="仿宋" w:hAnsi="仿宋" w:eastAsia="仿宋"/>
          <w:sz w:val="32"/>
          <w:szCs w:val="32"/>
          <w:lang w:eastAsia="zh-CN"/>
        </w:rPr>
        <w:t>中国注册会计师继续教育制度</w:t>
      </w:r>
      <w:r>
        <w:rPr>
          <w:rFonts w:hint="eastAsia" w:ascii="仿宋" w:hAnsi="仿宋" w:eastAsia="仿宋"/>
          <w:sz w:val="32"/>
          <w:szCs w:val="32"/>
        </w:rPr>
        <w:t>》等有关规定，制定本</w:t>
      </w:r>
      <w:r>
        <w:rPr>
          <w:rFonts w:hint="eastAsia" w:ascii="仿宋" w:hAnsi="仿宋" w:eastAsia="仿宋"/>
          <w:sz w:val="32"/>
          <w:szCs w:val="32"/>
          <w:lang w:eastAsia="zh-CN"/>
        </w:rPr>
        <w:t>办法</w:t>
      </w:r>
      <w:r>
        <w:rPr>
          <w:rFonts w:hint="eastAsia" w:ascii="仿宋" w:hAnsi="仿宋" w:eastAsia="仿宋"/>
          <w:sz w:val="32"/>
          <w:szCs w:val="32"/>
        </w:rPr>
        <w:t>。</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二</w:t>
      </w:r>
      <w:r>
        <w:rPr>
          <w:rFonts w:hint="eastAsia" w:ascii="仿宋" w:hAnsi="仿宋" w:eastAsia="仿宋"/>
          <w:sz w:val="32"/>
          <w:szCs w:val="32"/>
        </w:rPr>
        <w:t>条</w:t>
      </w:r>
      <w:r>
        <w:rPr>
          <w:rFonts w:hint="eastAsia" w:ascii="仿宋" w:hAnsi="仿宋" w:eastAsia="仿宋"/>
          <w:sz w:val="32"/>
          <w:szCs w:val="32"/>
          <w:lang w:val="en-US" w:eastAsia="zh-CN"/>
        </w:rPr>
        <w:t xml:space="preserve"> </w:t>
      </w:r>
      <w:r>
        <w:rPr>
          <w:rFonts w:hint="eastAsia" w:ascii="仿宋" w:hAnsi="仿宋" w:eastAsia="仿宋"/>
          <w:sz w:val="32"/>
          <w:szCs w:val="32"/>
        </w:rPr>
        <w:t>本</w:t>
      </w:r>
      <w:r>
        <w:rPr>
          <w:rFonts w:hint="eastAsia" w:ascii="仿宋" w:hAnsi="仿宋" w:eastAsia="仿宋"/>
          <w:sz w:val="32"/>
          <w:szCs w:val="32"/>
          <w:lang w:eastAsia="zh-CN"/>
        </w:rPr>
        <w:t>办法</w:t>
      </w:r>
      <w:r>
        <w:rPr>
          <w:rFonts w:hint="eastAsia" w:ascii="仿宋" w:hAnsi="仿宋" w:eastAsia="仿宋"/>
          <w:sz w:val="32"/>
          <w:szCs w:val="32"/>
        </w:rPr>
        <w:t>适用于</w:t>
      </w:r>
      <w:r>
        <w:rPr>
          <w:rFonts w:hint="eastAsia" w:ascii="仿宋" w:hAnsi="仿宋" w:eastAsia="仿宋"/>
          <w:sz w:val="32"/>
          <w:szCs w:val="32"/>
          <w:lang w:eastAsia="zh-CN"/>
        </w:rPr>
        <w:t>取得内部培训资格的会计师事务所</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eastAsia="zh-CN"/>
        </w:rPr>
        <w:t>第三条</w:t>
      </w:r>
      <w:r>
        <w:rPr>
          <w:rFonts w:hint="eastAsia" w:ascii="仿宋" w:hAnsi="仿宋" w:eastAsia="仿宋"/>
          <w:sz w:val="32"/>
          <w:szCs w:val="32"/>
          <w:lang w:val="en-US" w:eastAsia="zh-CN"/>
        </w:rPr>
        <w:t xml:space="preserve"> 辽宁省注册会计师协会（以下简称“省注协）</w:t>
      </w:r>
      <w:r>
        <w:rPr>
          <w:rFonts w:hint="eastAsia" w:ascii="仿宋" w:hAnsi="仿宋" w:eastAsia="仿宋"/>
          <w:sz w:val="32"/>
          <w:szCs w:val="32"/>
        </w:rPr>
        <w:t>审核认定本</w:t>
      </w:r>
      <w:r>
        <w:rPr>
          <w:rFonts w:hint="eastAsia" w:ascii="仿宋" w:hAnsi="仿宋" w:eastAsia="仿宋"/>
          <w:sz w:val="32"/>
          <w:szCs w:val="32"/>
          <w:lang w:eastAsia="zh-CN"/>
        </w:rPr>
        <w:t>省</w:t>
      </w:r>
      <w:r>
        <w:rPr>
          <w:rFonts w:hint="eastAsia" w:ascii="仿宋" w:hAnsi="仿宋" w:eastAsia="仿宋"/>
          <w:sz w:val="32"/>
          <w:szCs w:val="32"/>
        </w:rPr>
        <w:t>事务所内部培训资格，并报中注协备案。指导、监督、评价本</w:t>
      </w:r>
      <w:r>
        <w:rPr>
          <w:rFonts w:hint="eastAsia" w:ascii="仿宋" w:hAnsi="仿宋" w:eastAsia="仿宋"/>
          <w:sz w:val="32"/>
          <w:szCs w:val="32"/>
          <w:lang w:eastAsia="zh-CN"/>
        </w:rPr>
        <w:t>省</w:t>
      </w:r>
      <w:r>
        <w:rPr>
          <w:rFonts w:hint="eastAsia" w:ascii="仿宋" w:hAnsi="仿宋" w:eastAsia="仿宋"/>
          <w:sz w:val="32"/>
          <w:szCs w:val="32"/>
        </w:rPr>
        <w:t>事务所内部培训工作，并进行抽查。</w:t>
      </w:r>
    </w:p>
    <w:p>
      <w:pPr>
        <w:spacing w:line="560" w:lineRule="exact"/>
        <w:ind w:firstLine="640" w:firstLineChars="200"/>
        <w:jc w:val="center"/>
        <w:rPr>
          <w:rFonts w:ascii="黑体" w:hAnsi="黑体" w:eastAsia="黑体"/>
          <w:sz w:val="32"/>
          <w:szCs w:val="32"/>
        </w:rPr>
      </w:pPr>
      <w:r>
        <w:rPr>
          <w:rFonts w:hint="eastAsia" w:ascii="黑体" w:hAnsi="黑体" w:eastAsia="黑体"/>
          <w:sz w:val="32"/>
          <w:szCs w:val="32"/>
        </w:rPr>
        <w:t xml:space="preserve">第二章 </w:t>
      </w:r>
      <w:r>
        <w:rPr>
          <w:rFonts w:hint="eastAsia" w:ascii="黑体" w:hAnsi="黑体" w:eastAsia="黑体"/>
          <w:sz w:val="32"/>
          <w:szCs w:val="32"/>
          <w:lang w:eastAsia="zh-CN"/>
        </w:rPr>
        <w:t>内部培训</w:t>
      </w:r>
      <w:r>
        <w:rPr>
          <w:rFonts w:hint="eastAsia" w:ascii="黑体" w:hAnsi="黑体" w:eastAsia="黑体"/>
          <w:sz w:val="32"/>
          <w:szCs w:val="32"/>
        </w:rPr>
        <w:t>的组织管理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第四条  注册会计师继续教育实行统一管理，</w:t>
      </w:r>
      <w:r>
        <w:rPr>
          <w:rFonts w:hint="eastAsia" w:ascii="仿宋" w:hAnsi="仿宋" w:eastAsia="仿宋"/>
          <w:sz w:val="32"/>
          <w:szCs w:val="32"/>
          <w:lang w:eastAsia="zh-CN"/>
        </w:rPr>
        <w:t>有内部培训资格事务所</w:t>
      </w:r>
      <w:r>
        <w:rPr>
          <w:rFonts w:hint="eastAsia" w:ascii="仿宋" w:hAnsi="仿宋" w:eastAsia="仿宋"/>
          <w:sz w:val="32"/>
          <w:szCs w:val="32"/>
        </w:rPr>
        <w:t>负责实施。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第五条  事务所或事务所分所具备下列条件的，可在每年年初向</w:t>
      </w:r>
      <w:r>
        <w:rPr>
          <w:rFonts w:hint="eastAsia" w:ascii="仿宋" w:hAnsi="仿宋" w:eastAsia="仿宋"/>
          <w:sz w:val="32"/>
          <w:szCs w:val="32"/>
          <w:lang w:eastAsia="zh-CN"/>
        </w:rPr>
        <w:t>省</w:t>
      </w:r>
      <w:r>
        <w:rPr>
          <w:rFonts w:hint="eastAsia" w:ascii="仿宋" w:hAnsi="仿宋" w:eastAsia="仿宋"/>
          <w:sz w:val="32"/>
          <w:szCs w:val="32"/>
        </w:rPr>
        <w:t>注协申请内部培训资格：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（一）至少</w:t>
      </w:r>
      <w:r>
        <w:rPr>
          <w:rFonts w:hint="eastAsia" w:ascii="仿宋" w:hAnsi="仿宋" w:eastAsia="仿宋"/>
          <w:sz w:val="32"/>
          <w:szCs w:val="32"/>
          <w:u w:val="none"/>
          <w:lang w:val="en-US" w:eastAsia="zh-CN"/>
        </w:rPr>
        <w:t>50</w:t>
      </w:r>
      <w:r>
        <w:rPr>
          <w:rFonts w:hint="eastAsia" w:ascii="仿宋" w:hAnsi="仿宋" w:eastAsia="仿宋"/>
          <w:sz w:val="32"/>
          <w:szCs w:val="32"/>
        </w:rPr>
        <w:t>名注册会计师。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（二）具有健全的内部培训制度和科学的培训计划。</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（三）设有专门从事培训工作的职能部门和人员。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（四）能够提供符合培训要求的师资、场地和设施。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六</w:t>
      </w:r>
      <w:r>
        <w:rPr>
          <w:rFonts w:hint="eastAsia" w:ascii="仿宋" w:hAnsi="仿宋" w:eastAsia="仿宋"/>
          <w:sz w:val="32"/>
          <w:szCs w:val="32"/>
        </w:rPr>
        <w:t>条 具有内部培训资格的事务所应当通过行业管理信息系统，动态报备培训相关材料和数据，包括：本所继续教育办法、年度继续教育计划、具体实施情况、年度培训总结等。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七</w:t>
      </w:r>
      <w:r>
        <w:rPr>
          <w:rFonts w:hint="eastAsia" w:ascii="仿宋" w:hAnsi="仿宋" w:eastAsia="仿宋"/>
          <w:sz w:val="32"/>
          <w:szCs w:val="32"/>
        </w:rPr>
        <w:t xml:space="preserve">条 </w:t>
      </w:r>
      <w:r>
        <w:rPr>
          <w:rFonts w:hint="eastAsia" w:ascii="仿宋" w:hAnsi="仿宋" w:eastAsia="仿宋"/>
          <w:sz w:val="32"/>
          <w:szCs w:val="32"/>
          <w:lang w:eastAsia="zh-CN"/>
        </w:rPr>
        <w:t>省</w:t>
      </w:r>
      <w:r>
        <w:rPr>
          <w:rFonts w:hint="eastAsia" w:ascii="仿宋" w:hAnsi="仿宋" w:eastAsia="仿宋"/>
          <w:sz w:val="32"/>
          <w:szCs w:val="32"/>
        </w:rPr>
        <w:t>注协在确认事务所内部培训资格时，应当履行相应的审核程序和在行业内公示程序，并开展定期考核。</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八</w:t>
      </w:r>
      <w:r>
        <w:rPr>
          <w:rFonts w:hint="eastAsia" w:ascii="仿宋" w:hAnsi="仿宋" w:eastAsia="仿宋"/>
          <w:sz w:val="32"/>
          <w:szCs w:val="32"/>
        </w:rPr>
        <w:t>条</w:t>
      </w:r>
      <w:r>
        <w:rPr>
          <w:rFonts w:hint="eastAsia" w:ascii="仿宋" w:hAnsi="仿宋" w:eastAsia="仿宋"/>
          <w:sz w:val="32"/>
          <w:szCs w:val="32"/>
          <w:lang w:val="en-US" w:eastAsia="zh-CN"/>
        </w:rPr>
        <w:t xml:space="preserve">  </w:t>
      </w:r>
      <w:r>
        <w:rPr>
          <w:rFonts w:hint="eastAsia" w:ascii="仿宋" w:hAnsi="仿宋" w:eastAsia="仿宋"/>
          <w:sz w:val="32"/>
          <w:szCs w:val="32"/>
        </w:rPr>
        <w:t>具有内部培训资格的事务所开展的内部培训，经</w:t>
      </w:r>
      <w:r>
        <w:rPr>
          <w:rFonts w:hint="eastAsia" w:ascii="仿宋" w:hAnsi="仿宋" w:eastAsia="仿宋"/>
          <w:sz w:val="32"/>
          <w:szCs w:val="32"/>
          <w:lang w:eastAsia="zh-CN"/>
        </w:rPr>
        <w:t>省</w:t>
      </w:r>
      <w:r>
        <w:rPr>
          <w:rFonts w:hint="eastAsia" w:ascii="仿宋" w:hAnsi="仿宋" w:eastAsia="仿宋"/>
          <w:sz w:val="32"/>
          <w:szCs w:val="32"/>
        </w:rPr>
        <w:t>注协评估，认可其继续教育学时。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九</w:t>
      </w:r>
      <w:r>
        <w:rPr>
          <w:rFonts w:hint="eastAsia" w:ascii="仿宋" w:hAnsi="仿宋" w:eastAsia="仿宋"/>
          <w:sz w:val="32"/>
          <w:szCs w:val="32"/>
        </w:rPr>
        <w:t xml:space="preserve">条 </w:t>
      </w:r>
      <w:r>
        <w:rPr>
          <w:rFonts w:hint="eastAsia" w:ascii="仿宋" w:hAnsi="仿宋" w:eastAsia="仿宋"/>
          <w:sz w:val="32"/>
          <w:szCs w:val="32"/>
          <w:lang w:eastAsia="zh-CN"/>
        </w:rPr>
        <w:t>中注协或省</w:t>
      </w:r>
      <w:r>
        <w:rPr>
          <w:rFonts w:hint="eastAsia" w:ascii="仿宋" w:hAnsi="仿宋" w:eastAsia="仿宋"/>
          <w:sz w:val="32"/>
          <w:szCs w:val="32"/>
        </w:rPr>
        <w:t>注协对内部培训资格进行不定期抽查，发现不符合条件的事务所，取消其内部培训资格，且三年内不得再次申请。被取消内部培训资格的事务所，当年开展的内部培训不予确认学时。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第十条 分所注册会计师接受总所统一培训时，分所应当提前将总所内部培训资格、年度培训计划、培训师资等相关材料报</w:t>
      </w:r>
      <w:r>
        <w:rPr>
          <w:rFonts w:hint="eastAsia" w:ascii="仿宋" w:hAnsi="仿宋" w:eastAsia="仿宋"/>
          <w:sz w:val="32"/>
          <w:szCs w:val="32"/>
          <w:lang w:eastAsia="zh-CN"/>
        </w:rPr>
        <w:t>省</w:t>
      </w:r>
      <w:r>
        <w:rPr>
          <w:rFonts w:hint="eastAsia" w:ascii="仿宋" w:hAnsi="仿宋" w:eastAsia="仿宋"/>
          <w:sz w:val="32"/>
          <w:szCs w:val="32"/>
        </w:rPr>
        <w:t>注协审核。</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十一</w:t>
      </w:r>
      <w:r>
        <w:rPr>
          <w:rFonts w:hint="eastAsia" w:ascii="仿宋" w:hAnsi="仿宋" w:eastAsia="仿宋"/>
          <w:sz w:val="32"/>
          <w:szCs w:val="32"/>
        </w:rPr>
        <w:t>条</w:t>
      </w:r>
      <w:r>
        <w:rPr>
          <w:rFonts w:hint="eastAsia" w:ascii="仿宋" w:hAnsi="仿宋" w:eastAsia="仿宋"/>
          <w:sz w:val="32"/>
          <w:szCs w:val="32"/>
          <w:lang w:val="en-US" w:eastAsia="zh-CN"/>
        </w:rPr>
        <w:t xml:space="preserve"> </w:t>
      </w:r>
      <w:r>
        <w:rPr>
          <w:rFonts w:hint="eastAsia" w:ascii="仿宋" w:hAnsi="仿宋" w:eastAsia="仿宋"/>
          <w:sz w:val="32"/>
          <w:szCs w:val="32"/>
        </w:rPr>
        <w:t>分所注册会计师完成培训后申请确认学时的，应当提交证明材料，报</w:t>
      </w:r>
      <w:r>
        <w:rPr>
          <w:rFonts w:hint="eastAsia" w:ascii="仿宋" w:hAnsi="仿宋" w:eastAsia="仿宋"/>
          <w:sz w:val="32"/>
          <w:szCs w:val="32"/>
          <w:lang w:eastAsia="zh-CN"/>
        </w:rPr>
        <w:t>省</w:t>
      </w:r>
      <w:r>
        <w:rPr>
          <w:rFonts w:hint="eastAsia" w:ascii="仿宋" w:hAnsi="仿宋" w:eastAsia="仿宋"/>
          <w:sz w:val="32"/>
          <w:szCs w:val="32"/>
        </w:rPr>
        <w:t>注协确认学时。证明材料包括由总所所在地注协出具或者书面认可的培训证明、参加培训相关材料等。</w:t>
      </w:r>
    </w:p>
    <w:p>
      <w:pPr>
        <w:jc w:val="center"/>
        <w:rPr>
          <w:rFonts w:ascii="黑体" w:hAnsi="黑体" w:eastAsia="黑体"/>
          <w:sz w:val="32"/>
          <w:szCs w:val="32"/>
        </w:rPr>
      </w:pPr>
      <w:r>
        <w:rPr>
          <w:rFonts w:hint="eastAsia" w:ascii="黑体" w:hAnsi="黑体" w:eastAsia="黑体"/>
          <w:sz w:val="32"/>
          <w:szCs w:val="32"/>
        </w:rPr>
        <w:t>第三章 继续教育的内容、形式与学时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w:t>
      </w:r>
      <w:r>
        <w:rPr>
          <w:rFonts w:hint="eastAsia" w:ascii="仿宋" w:hAnsi="仿宋" w:eastAsia="仿宋"/>
          <w:sz w:val="32"/>
          <w:szCs w:val="32"/>
          <w:lang w:eastAsia="zh-CN"/>
        </w:rPr>
        <w:t>二</w:t>
      </w:r>
      <w:r>
        <w:rPr>
          <w:rFonts w:hint="eastAsia" w:ascii="仿宋" w:hAnsi="仿宋" w:eastAsia="仿宋"/>
          <w:sz w:val="32"/>
          <w:szCs w:val="32"/>
        </w:rPr>
        <w:t>条 注册会计师继续教育的内容应</w:t>
      </w:r>
      <w:bookmarkStart w:id="0" w:name="_GoBack"/>
      <w:bookmarkEnd w:id="0"/>
      <w:r>
        <w:rPr>
          <w:rFonts w:hint="eastAsia" w:ascii="仿宋" w:hAnsi="仿宋" w:eastAsia="仿宋"/>
          <w:sz w:val="32"/>
          <w:szCs w:val="32"/>
        </w:rPr>
        <w:t>体现党的路线、方针、政策，职业发展目标，所处的职业领域和发展阶段的差异以及职业环境的变化，包括与保持和提升专业胜任能力相关的技术胜任能力、职业技能、职业价值观、道德与态度以及实务经历等。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w:t>
      </w:r>
      <w:r>
        <w:rPr>
          <w:rFonts w:hint="eastAsia" w:ascii="仿宋" w:hAnsi="仿宋" w:eastAsia="仿宋"/>
          <w:sz w:val="32"/>
          <w:szCs w:val="32"/>
          <w:lang w:eastAsia="zh-CN"/>
        </w:rPr>
        <w:t>三</w:t>
      </w:r>
      <w:r>
        <w:rPr>
          <w:rFonts w:hint="eastAsia" w:ascii="仿宋" w:hAnsi="仿宋" w:eastAsia="仿宋"/>
          <w:sz w:val="32"/>
          <w:szCs w:val="32"/>
        </w:rPr>
        <w:t>条 继续教育形式包括投入法形式和产出法认可的其他形式。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w:t>
      </w:r>
      <w:r>
        <w:rPr>
          <w:rFonts w:hint="eastAsia" w:ascii="仿宋" w:hAnsi="仿宋" w:eastAsia="仿宋"/>
          <w:sz w:val="32"/>
          <w:szCs w:val="32"/>
          <w:lang w:eastAsia="zh-CN"/>
        </w:rPr>
        <w:t>四</w:t>
      </w:r>
      <w:r>
        <w:rPr>
          <w:rFonts w:hint="eastAsia" w:ascii="仿宋" w:hAnsi="仿宋" w:eastAsia="仿宋"/>
          <w:sz w:val="32"/>
          <w:szCs w:val="32"/>
        </w:rPr>
        <w:t>条 投入法的继续教育形式是指注册会计师参加面授培训和网络录播培训。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注册会计师参加以上形式的继续教育，至少45分钟为一个学时，按照实际参加时间确认。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w:t>
      </w:r>
      <w:r>
        <w:rPr>
          <w:rFonts w:hint="eastAsia" w:ascii="仿宋" w:hAnsi="仿宋" w:eastAsia="仿宋"/>
          <w:sz w:val="32"/>
          <w:szCs w:val="32"/>
          <w:lang w:eastAsia="zh-CN"/>
        </w:rPr>
        <w:t>五</w:t>
      </w:r>
      <w:r>
        <w:rPr>
          <w:rFonts w:hint="eastAsia" w:ascii="仿宋" w:hAnsi="仿宋" w:eastAsia="仿宋"/>
          <w:sz w:val="32"/>
          <w:szCs w:val="32"/>
        </w:rPr>
        <w:t xml:space="preserve">条 产出法认可的其他形式是指与执业相关的专业活动及成果。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认可的继续教育形式</w:t>
      </w:r>
      <w:r>
        <w:rPr>
          <w:rFonts w:hint="eastAsia" w:ascii="仿宋" w:hAnsi="仿宋" w:eastAsia="仿宋"/>
          <w:sz w:val="32"/>
          <w:szCs w:val="32"/>
          <w:lang w:eastAsia="zh-CN"/>
        </w:rPr>
        <w:t>比照《辽宁省注册会计师继续教育管理办法》。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w:t>
      </w:r>
      <w:r>
        <w:rPr>
          <w:rFonts w:hint="eastAsia" w:ascii="仿宋" w:hAnsi="仿宋" w:eastAsia="仿宋"/>
          <w:sz w:val="32"/>
          <w:szCs w:val="32"/>
          <w:lang w:eastAsia="zh-CN"/>
        </w:rPr>
        <w:t>六</w:t>
      </w:r>
      <w:r>
        <w:rPr>
          <w:rFonts w:hint="eastAsia" w:ascii="仿宋" w:hAnsi="仿宋" w:eastAsia="仿宋"/>
          <w:sz w:val="32"/>
          <w:szCs w:val="32"/>
        </w:rPr>
        <w:t>条  注册会计师继续教育每年为一个考核周期，从1月1日起至当年12月31日止。注册会计师每年接受继续教育累计不得少于40个学时。本年度的继续教育学时仅在当年有效。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有关职业道德的培训，每个周期不得少于4个学时。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w:t>
      </w:r>
      <w:r>
        <w:rPr>
          <w:rFonts w:hint="eastAsia" w:ascii="仿宋" w:hAnsi="仿宋" w:eastAsia="仿宋"/>
          <w:sz w:val="32"/>
          <w:szCs w:val="32"/>
          <w:lang w:eastAsia="zh-CN"/>
        </w:rPr>
        <w:t>七</w:t>
      </w:r>
      <w:r>
        <w:rPr>
          <w:rFonts w:hint="eastAsia" w:ascii="仿宋" w:hAnsi="仿宋" w:eastAsia="仿宋"/>
          <w:sz w:val="32"/>
          <w:szCs w:val="32"/>
        </w:rPr>
        <w:t>条  存在下列情形之一，可以向</w:t>
      </w:r>
      <w:r>
        <w:rPr>
          <w:rFonts w:hint="eastAsia" w:ascii="仿宋" w:hAnsi="仿宋" w:eastAsia="仿宋"/>
          <w:sz w:val="32"/>
          <w:szCs w:val="32"/>
          <w:lang w:eastAsia="zh-CN"/>
        </w:rPr>
        <w:t>省</w:t>
      </w:r>
      <w:r>
        <w:rPr>
          <w:rFonts w:hint="eastAsia" w:ascii="仿宋" w:hAnsi="仿宋" w:eastAsia="仿宋"/>
          <w:sz w:val="32"/>
          <w:szCs w:val="32"/>
        </w:rPr>
        <w:t>注协提出书面申请，经批准可不参加当年度继续教育培训。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（一）在境外停留半年以上的。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（二）生育休产假的。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（三）休病假半年以上的。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（四）7月1日之后新注册的。</w:t>
      </w:r>
    </w:p>
    <w:p>
      <w:pPr>
        <w:jc w:val="center"/>
        <w:rPr>
          <w:rFonts w:ascii="黑体" w:hAnsi="黑体" w:eastAsia="黑体"/>
          <w:sz w:val="32"/>
          <w:szCs w:val="32"/>
        </w:rPr>
      </w:pPr>
      <w:r>
        <w:rPr>
          <w:rFonts w:hint="eastAsia" w:ascii="黑体" w:hAnsi="黑体" w:eastAsia="黑体"/>
          <w:sz w:val="32"/>
          <w:szCs w:val="32"/>
        </w:rPr>
        <w:t>第四章  继续教育学时的确认与考核</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十八</w:t>
      </w:r>
      <w:r>
        <w:rPr>
          <w:rFonts w:hint="eastAsia" w:ascii="仿宋" w:hAnsi="仿宋" w:eastAsia="仿宋"/>
          <w:sz w:val="32"/>
          <w:szCs w:val="32"/>
        </w:rPr>
        <w:t xml:space="preserve">条 </w:t>
      </w:r>
      <w:r>
        <w:rPr>
          <w:rFonts w:hint="eastAsia" w:ascii="仿宋" w:hAnsi="仿宋" w:eastAsia="仿宋"/>
          <w:sz w:val="32"/>
          <w:szCs w:val="32"/>
          <w:lang w:eastAsia="zh-CN"/>
        </w:rPr>
        <w:t>省</w:t>
      </w:r>
      <w:r>
        <w:rPr>
          <w:rFonts w:hint="eastAsia" w:ascii="仿宋" w:hAnsi="仿宋" w:eastAsia="仿宋"/>
          <w:sz w:val="32"/>
          <w:szCs w:val="32"/>
        </w:rPr>
        <w:t>注协负责确认和登记注册会计师继续教育学时，并考核其完成情况。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十九</w:t>
      </w:r>
      <w:r>
        <w:rPr>
          <w:rFonts w:hint="eastAsia" w:ascii="仿宋" w:hAnsi="仿宋" w:eastAsia="仿宋"/>
          <w:sz w:val="32"/>
          <w:szCs w:val="32"/>
        </w:rPr>
        <w:t xml:space="preserve">条 </w:t>
      </w:r>
      <w:r>
        <w:rPr>
          <w:rFonts w:hint="eastAsia" w:ascii="仿宋" w:hAnsi="仿宋" w:eastAsia="仿宋"/>
          <w:sz w:val="32"/>
          <w:szCs w:val="32"/>
          <w:lang w:eastAsia="zh-CN"/>
        </w:rPr>
        <w:t>事务所应将</w:t>
      </w:r>
      <w:r>
        <w:rPr>
          <w:rFonts w:hint="eastAsia" w:ascii="仿宋" w:hAnsi="仿宋" w:eastAsia="仿宋"/>
          <w:sz w:val="32"/>
          <w:szCs w:val="32"/>
        </w:rPr>
        <w:t>注册会计师继续教育相关资料妥善保管三年，并在</w:t>
      </w:r>
      <w:r>
        <w:rPr>
          <w:rFonts w:hint="eastAsia" w:ascii="仿宋" w:hAnsi="仿宋" w:eastAsia="仿宋"/>
          <w:sz w:val="32"/>
          <w:szCs w:val="32"/>
          <w:lang w:eastAsia="zh-CN"/>
        </w:rPr>
        <w:t>省</w:t>
      </w:r>
      <w:r>
        <w:rPr>
          <w:rFonts w:hint="eastAsia" w:ascii="仿宋" w:hAnsi="仿宋" w:eastAsia="仿宋"/>
          <w:sz w:val="32"/>
          <w:szCs w:val="32"/>
        </w:rPr>
        <w:t>注协检查或抽查时予以提供。</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p>
    <w:p>
      <w:pPr>
        <w:jc w:val="center"/>
        <w:rPr>
          <w:rFonts w:ascii="黑体" w:hAnsi="黑体" w:eastAsia="黑体"/>
          <w:sz w:val="32"/>
          <w:szCs w:val="32"/>
        </w:rPr>
      </w:pPr>
      <w:r>
        <w:rPr>
          <w:rFonts w:hint="eastAsia" w:ascii="黑体" w:hAnsi="黑体" w:eastAsia="黑体"/>
          <w:sz w:val="32"/>
          <w:szCs w:val="32"/>
        </w:rPr>
        <w:t>第五章  附则</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第二十条  本制度自2022年1 月1日起施行。</w:t>
      </w:r>
      <w:r>
        <w:rPr>
          <w:rFonts w:hint="eastAsia" w:ascii="仿宋" w:hAnsi="仿宋" w:eastAsia="仿宋"/>
          <w:sz w:val="32"/>
          <w:szCs w:val="32"/>
          <w:lang w:val="en-US" w:eastAsia="zh-CN"/>
        </w:rPr>
        <w:t xml:space="preserve"> </w:t>
      </w:r>
    </w:p>
    <w:p>
      <w:pPr>
        <w:widowControl/>
        <w:jc w:val="left"/>
        <w:rPr>
          <w:rFonts w:ascii="仿宋" w:hAnsi="仿宋" w:eastAsia="仿宋"/>
          <w:sz w:val="32"/>
          <w:szCs w:val="32"/>
        </w:rPr>
      </w:pPr>
      <w:r>
        <w:rPr>
          <w:rFonts w:ascii="仿宋" w:hAnsi="仿宋" w:eastAsia="仿宋"/>
          <w:sz w:val="32"/>
          <w:szCs w:val="32"/>
        </w:rPr>
        <w:br w:type="page"/>
      </w:r>
    </w:p>
    <w:p>
      <w:pPr>
        <w:adjustRightInd w:val="0"/>
        <w:snapToGrid w:val="0"/>
        <w:spacing w:line="560" w:lineRule="atLeast"/>
        <w:rPr>
          <w:rFonts w:ascii="仿宋_GB2312" w:hAnsi="Times New Roman" w:eastAsia="仿宋_GB2312" w:cs="Times New Roman"/>
          <w:b/>
          <w:bCs/>
          <w:sz w:val="28"/>
          <w:szCs w:val="24"/>
        </w:rPr>
      </w:pPr>
      <w:r>
        <w:rPr>
          <w:rFonts w:hint="eastAsia" w:ascii="仿宋_GB2312" w:hAnsi="Times New Roman" w:eastAsia="仿宋_GB2312" w:cs="Times New Roman"/>
          <w:b/>
          <w:bCs/>
          <w:sz w:val="28"/>
          <w:szCs w:val="24"/>
        </w:rPr>
        <w:t>附表1</w:t>
      </w:r>
    </w:p>
    <w:p>
      <w:pPr>
        <w:spacing w:after="156" w:afterLines="50"/>
        <w:jc w:val="center"/>
        <w:rPr>
          <w:rFonts w:ascii="宋体" w:hAnsi="宋体" w:eastAsia="宋体" w:cs="Times New Roman"/>
          <w:b/>
          <w:bCs/>
          <w:sz w:val="36"/>
          <w:szCs w:val="24"/>
        </w:rPr>
      </w:pPr>
      <w:r>
        <w:rPr>
          <w:rFonts w:hint="eastAsia" w:ascii="宋体" w:hAnsi="宋体" w:eastAsia="宋体" w:cs="Times New Roman"/>
          <w:b/>
          <w:bCs/>
          <w:sz w:val="36"/>
          <w:szCs w:val="24"/>
        </w:rPr>
        <w:t>中国注册会计师继续教育学时确认申请表</w:t>
      </w:r>
    </w:p>
    <w:tbl>
      <w:tblPr>
        <w:tblStyle w:val="7"/>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35"/>
        <w:gridCol w:w="525"/>
        <w:gridCol w:w="375"/>
        <w:gridCol w:w="705"/>
        <w:gridCol w:w="180"/>
        <w:gridCol w:w="1635"/>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00" w:type="dxa"/>
          </w:tcPr>
          <w:p>
            <w:pPr>
              <w:jc w:val="center"/>
              <w:rPr>
                <w:rFonts w:ascii="仿宋_GB2312" w:hAnsi="Times New Roman" w:eastAsia="仿宋_GB2312" w:cs="Times New Roman"/>
                <w:sz w:val="28"/>
                <w:szCs w:val="24"/>
              </w:rPr>
            </w:pPr>
            <w:r>
              <w:rPr>
                <w:rFonts w:hint="eastAsia" w:ascii="仿宋_GB2312" w:hAnsi="Times New Roman" w:eastAsia="仿宋_GB2312" w:cs="Times New Roman"/>
                <w:sz w:val="28"/>
                <w:szCs w:val="24"/>
              </w:rPr>
              <w:t>姓名</w:t>
            </w:r>
          </w:p>
        </w:tc>
        <w:tc>
          <w:tcPr>
            <w:tcW w:w="1635" w:type="dxa"/>
          </w:tcPr>
          <w:p>
            <w:pPr>
              <w:jc w:val="center"/>
              <w:rPr>
                <w:rFonts w:ascii="仿宋_GB2312" w:hAnsi="Times New Roman" w:eastAsia="仿宋_GB2312" w:cs="Times New Roman"/>
                <w:sz w:val="28"/>
                <w:szCs w:val="24"/>
              </w:rPr>
            </w:pPr>
          </w:p>
        </w:tc>
        <w:tc>
          <w:tcPr>
            <w:tcW w:w="900" w:type="dxa"/>
            <w:gridSpan w:val="2"/>
          </w:tcPr>
          <w:p>
            <w:pPr>
              <w:jc w:val="center"/>
              <w:rPr>
                <w:rFonts w:ascii="仿宋_GB2312" w:hAnsi="Times New Roman" w:eastAsia="仿宋_GB2312" w:cs="Times New Roman"/>
                <w:sz w:val="28"/>
                <w:szCs w:val="24"/>
              </w:rPr>
            </w:pPr>
            <w:r>
              <w:rPr>
                <w:rFonts w:hint="eastAsia" w:ascii="仿宋_GB2312" w:hAnsi="Times New Roman" w:eastAsia="仿宋_GB2312" w:cs="Times New Roman"/>
                <w:sz w:val="28"/>
                <w:szCs w:val="24"/>
              </w:rPr>
              <w:t>性别</w:t>
            </w:r>
          </w:p>
        </w:tc>
        <w:tc>
          <w:tcPr>
            <w:tcW w:w="705" w:type="dxa"/>
          </w:tcPr>
          <w:p>
            <w:pPr>
              <w:jc w:val="center"/>
              <w:rPr>
                <w:rFonts w:ascii="仿宋_GB2312" w:hAnsi="Times New Roman" w:eastAsia="仿宋_GB2312" w:cs="Times New Roman"/>
                <w:sz w:val="28"/>
                <w:szCs w:val="24"/>
              </w:rPr>
            </w:pPr>
          </w:p>
        </w:tc>
        <w:tc>
          <w:tcPr>
            <w:tcW w:w="1815" w:type="dxa"/>
            <w:gridSpan w:val="2"/>
          </w:tcPr>
          <w:p>
            <w:pPr>
              <w:jc w:val="center"/>
              <w:rPr>
                <w:rFonts w:ascii="仿宋_GB2312" w:hAnsi="Times New Roman" w:eastAsia="仿宋_GB2312" w:cs="Times New Roman"/>
                <w:sz w:val="28"/>
                <w:szCs w:val="24"/>
              </w:rPr>
            </w:pPr>
            <w:r>
              <w:rPr>
                <w:rFonts w:hint="eastAsia" w:ascii="仿宋_GB2312" w:hAnsi="Times New Roman" w:eastAsia="仿宋_GB2312" w:cs="Times New Roman"/>
                <w:sz w:val="28"/>
                <w:szCs w:val="24"/>
              </w:rPr>
              <w:t>CPA证书号码</w:t>
            </w:r>
          </w:p>
        </w:tc>
        <w:tc>
          <w:tcPr>
            <w:tcW w:w="2685" w:type="dxa"/>
          </w:tcPr>
          <w:p>
            <w:pPr>
              <w:jc w:val="center"/>
              <w:rPr>
                <w:rFonts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535" w:type="dxa"/>
            <w:gridSpan w:val="2"/>
          </w:tcPr>
          <w:p>
            <w:pPr>
              <w:jc w:val="center"/>
              <w:rPr>
                <w:rFonts w:ascii="仿宋_GB2312" w:hAnsi="Times New Roman" w:eastAsia="仿宋_GB2312" w:cs="Times New Roman"/>
                <w:sz w:val="28"/>
                <w:szCs w:val="24"/>
              </w:rPr>
            </w:pPr>
            <w:r>
              <w:rPr>
                <w:rFonts w:hint="eastAsia" w:ascii="仿宋_GB2312" w:hAnsi="Times New Roman" w:eastAsia="仿宋_GB2312" w:cs="Times New Roman"/>
                <w:sz w:val="28"/>
                <w:szCs w:val="24"/>
              </w:rPr>
              <w:t>所在会计师事务所</w:t>
            </w:r>
          </w:p>
        </w:tc>
        <w:tc>
          <w:tcPr>
            <w:tcW w:w="6105" w:type="dxa"/>
            <w:gridSpan w:val="6"/>
          </w:tcPr>
          <w:p>
            <w:pPr>
              <w:jc w:val="center"/>
              <w:rPr>
                <w:rFonts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2535" w:type="dxa"/>
            <w:gridSpan w:val="2"/>
          </w:tcPr>
          <w:p>
            <w:pPr>
              <w:jc w:val="center"/>
              <w:rPr>
                <w:rFonts w:ascii="仿宋_GB2312" w:hAnsi="Times New Roman" w:eastAsia="仿宋_GB2312" w:cs="Times New Roman"/>
                <w:sz w:val="28"/>
                <w:szCs w:val="24"/>
              </w:rPr>
            </w:pPr>
            <w:r>
              <w:rPr>
                <w:rFonts w:hint="eastAsia" w:ascii="仿宋_GB2312" w:hAnsi="Times New Roman" w:eastAsia="仿宋_GB2312" w:cs="Times New Roman"/>
                <w:sz w:val="28"/>
                <w:szCs w:val="24"/>
              </w:rPr>
              <w:t>申请确认的学时数</w:t>
            </w:r>
          </w:p>
        </w:tc>
        <w:tc>
          <w:tcPr>
            <w:tcW w:w="6105" w:type="dxa"/>
            <w:gridSpan w:val="6"/>
          </w:tcPr>
          <w:p>
            <w:pPr>
              <w:jc w:val="center"/>
              <w:rPr>
                <w:rFonts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3060" w:type="dxa"/>
            <w:gridSpan w:val="3"/>
          </w:tcPr>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参加继续教育的形式</w:t>
            </w:r>
          </w:p>
        </w:tc>
        <w:tc>
          <w:tcPr>
            <w:tcW w:w="5580" w:type="dxa"/>
            <w:gridSpan w:val="5"/>
          </w:tcPr>
          <w:p>
            <w:pPr>
              <w:jc w:val="center"/>
              <w:rPr>
                <w:rFonts w:ascii="仿宋_GB2312" w:hAnsi="Times New Roman" w:eastAsia="仿宋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6" w:hRule="atLeast"/>
        </w:trPr>
        <w:tc>
          <w:tcPr>
            <w:tcW w:w="8640" w:type="dxa"/>
            <w:gridSpan w:val="8"/>
          </w:tcPr>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参加继续教育情况说明（可另附页）</w:t>
            </w:r>
          </w:p>
          <w:p>
            <w:pPr>
              <w:rPr>
                <w:rFonts w:ascii="仿宋_GB2312" w:hAnsi="Times New Roman" w:eastAsia="仿宋_GB2312" w:cs="Times New Roman"/>
                <w:sz w:val="28"/>
                <w:szCs w:val="24"/>
              </w:rPr>
            </w:pPr>
          </w:p>
          <w:p>
            <w:pPr>
              <w:rPr>
                <w:rFonts w:ascii="仿宋_GB2312" w:hAnsi="Times New Roman" w:eastAsia="仿宋_GB2312" w:cs="Times New Roman"/>
                <w:sz w:val="28"/>
                <w:szCs w:val="24"/>
              </w:rPr>
            </w:pPr>
          </w:p>
          <w:p>
            <w:pPr>
              <w:rPr>
                <w:rFonts w:ascii="仿宋_GB2312" w:hAnsi="Times New Roman" w:eastAsia="仿宋_GB2312" w:cs="Times New Roman"/>
                <w:sz w:val="28"/>
                <w:szCs w:val="24"/>
              </w:rPr>
            </w:pPr>
          </w:p>
          <w:p>
            <w:pPr>
              <w:rPr>
                <w:rFonts w:ascii="仿宋_GB2312" w:hAnsi="Times New Roman" w:eastAsia="仿宋_GB2312" w:cs="Times New Roman"/>
                <w:sz w:val="28"/>
                <w:szCs w:val="24"/>
              </w:rPr>
            </w:pPr>
          </w:p>
          <w:p>
            <w:pPr>
              <w:ind w:left="4750" w:leftChars="2262"/>
              <w:rPr>
                <w:rFonts w:ascii="仿宋_GB2312" w:hAnsi="Times New Roman" w:eastAsia="仿宋_GB2312" w:cs="Times New Roman"/>
                <w:sz w:val="28"/>
                <w:szCs w:val="24"/>
              </w:rPr>
            </w:pPr>
            <w:r>
              <w:rPr>
                <w:rFonts w:hint="eastAsia" w:ascii="仿宋_GB2312" w:hAnsi="Times New Roman" w:eastAsia="仿宋_GB2312" w:cs="Times New Roman"/>
                <w:sz w:val="28"/>
                <w:szCs w:val="24"/>
              </w:rPr>
              <w:t>申请人：</w:t>
            </w:r>
          </w:p>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trPr>
        <w:tc>
          <w:tcPr>
            <w:tcW w:w="4320" w:type="dxa"/>
            <w:gridSpan w:val="6"/>
          </w:tcPr>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所在会计师事务所意见</w:t>
            </w:r>
          </w:p>
        </w:tc>
        <w:tc>
          <w:tcPr>
            <w:tcW w:w="4320" w:type="dxa"/>
            <w:gridSpan w:val="2"/>
          </w:tcPr>
          <w:p>
            <w:pPr>
              <w:rPr>
                <w:rFonts w:ascii="仿宋_GB2312" w:hAnsi="Times New Roman" w:eastAsia="仿宋_GB2312" w:cs="Times New Roman"/>
                <w:sz w:val="28"/>
                <w:szCs w:val="24"/>
              </w:rPr>
            </w:pPr>
            <w:r>
              <w:rPr>
                <w:rFonts w:hint="eastAsia" w:ascii="仿宋_GB2312" w:hAnsi="Times New Roman" w:eastAsia="仿宋_GB2312" w:cs="Times New Roman"/>
                <w:sz w:val="28"/>
                <w:szCs w:val="24"/>
              </w:rPr>
              <w:t>地方注协意见</w:t>
            </w:r>
          </w:p>
        </w:tc>
      </w:tr>
    </w:tbl>
    <w:p>
      <w:pPr>
        <w:spacing w:line="300" w:lineRule="exact"/>
        <w:rPr>
          <w:rFonts w:ascii="仿宋_GB2312" w:hAnsi="Times New Roman" w:eastAsia="仿宋_GB2312" w:cs="Times New Roman"/>
          <w:szCs w:val="24"/>
        </w:rPr>
      </w:pPr>
    </w:p>
    <w:p>
      <w:pPr>
        <w:spacing w:line="300" w:lineRule="exact"/>
        <w:ind w:left="821" w:hanging="820" w:hangingChars="342"/>
        <w:rPr>
          <w:rFonts w:ascii="仿宋_GB2312" w:hAnsi="Times New Roman" w:eastAsia="仿宋_GB2312" w:cs="Times New Roman"/>
          <w:sz w:val="24"/>
          <w:szCs w:val="24"/>
        </w:rPr>
      </w:pPr>
      <w:r>
        <w:rPr>
          <w:rFonts w:hint="eastAsia" w:ascii="仿宋_GB2312" w:hAnsi="Times New Roman" w:eastAsia="仿宋_GB2312" w:cs="Times New Roman"/>
          <w:sz w:val="24"/>
          <w:szCs w:val="24"/>
        </w:rPr>
        <w:t>说明： 1.本申请表中，经地方注协确认的学时数可计入当年继续教育学时。</w:t>
      </w:r>
    </w:p>
    <w:p>
      <w:pPr>
        <w:spacing w:line="300" w:lineRule="exact"/>
        <w:ind w:left="718" w:leftChars="342" w:firstLine="120" w:firstLineChars="50"/>
        <w:rPr>
          <w:rFonts w:ascii="仿宋_GB2312" w:hAnsi="Times New Roman" w:eastAsia="仿宋_GB2312" w:cs="Times New Roman"/>
          <w:sz w:val="24"/>
          <w:szCs w:val="24"/>
        </w:rPr>
      </w:pPr>
      <w:r>
        <w:rPr>
          <w:rFonts w:hint="eastAsia" w:ascii="仿宋_GB2312" w:hAnsi="Times New Roman" w:eastAsia="仿宋_GB2312" w:cs="Times New Roman"/>
          <w:sz w:val="24"/>
          <w:szCs w:val="24"/>
        </w:rPr>
        <w:t>2.“继续教育形式”包括投入法形式和产出法认可的其他形式。</w:t>
      </w:r>
    </w:p>
    <w:p>
      <w:pPr>
        <w:spacing w:line="300" w:lineRule="exact"/>
        <w:ind w:left="718" w:leftChars="342" w:firstLine="120" w:firstLineChars="50"/>
        <w:rPr>
          <w:rFonts w:ascii="仿宋_GB2312" w:hAnsi="Times New Roman" w:eastAsia="仿宋_GB2312" w:cs="Times New Roman"/>
          <w:sz w:val="24"/>
          <w:szCs w:val="24"/>
        </w:rPr>
      </w:pPr>
      <w:r>
        <w:rPr>
          <w:rFonts w:hint="eastAsia" w:ascii="仿宋_GB2312" w:hAnsi="Times New Roman" w:eastAsia="仿宋_GB2312" w:cs="Times New Roman"/>
          <w:sz w:val="24"/>
          <w:szCs w:val="24"/>
        </w:rPr>
        <w:t>3.申请人提交本申请表时，请一并报送相关证明材料。</w:t>
      </w:r>
    </w:p>
    <w:p>
      <w:pPr>
        <w:spacing w:line="300" w:lineRule="exact"/>
        <w:rPr>
          <w:rFonts w:ascii="仿宋_GB2312" w:hAnsi="宋体" w:eastAsia="仿宋_GB2312" w:cs="Times New Roman"/>
          <w:b/>
          <w:bCs/>
          <w:sz w:val="28"/>
          <w:szCs w:val="24"/>
        </w:rPr>
      </w:pPr>
      <w:r>
        <w:rPr>
          <w:rFonts w:ascii="仿宋_GB2312" w:hAnsi="Times New Roman" w:eastAsia="仿宋_GB2312" w:cs="Times New Roman"/>
          <w:szCs w:val="24"/>
        </w:rPr>
        <w:br w:type="page"/>
      </w:r>
      <w:r>
        <w:rPr>
          <w:rFonts w:hint="eastAsia" w:ascii="仿宋_GB2312" w:hAnsi="宋体" w:eastAsia="仿宋_GB2312" w:cs="Times New Roman"/>
          <w:b/>
          <w:bCs/>
          <w:sz w:val="28"/>
          <w:szCs w:val="24"/>
        </w:rPr>
        <w:t>附表2</w:t>
      </w:r>
    </w:p>
    <w:p>
      <w:pPr>
        <w:jc w:val="center"/>
        <w:rPr>
          <w:rFonts w:ascii="宋体" w:hAnsi="宋体" w:eastAsia="宋体" w:cs="Times New Roman"/>
          <w:b/>
          <w:bCs/>
          <w:sz w:val="36"/>
          <w:szCs w:val="24"/>
        </w:rPr>
      </w:pPr>
      <w:r>
        <w:rPr>
          <w:rFonts w:hint="eastAsia" w:ascii="宋体" w:hAnsi="宋体" w:eastAsia="宋体" w:cs="Times New Roman"/>
          <w:b/>
          <w:bCs/>
          <w:sz w:val="36"/>
          <w:szCs w:val="24"/>
        </w:rPr>
        <w:t>注册会计师培训学时证明表</w:t>
      </w:r>
    </w:p>
    <w:p>
      <w:pPr>
        <w:rPr>
          <w:rFonts w:ascii="宋体" w:hAnsi="宋体" w:eastAsia="宋体" w:cs="Times New Roman"/>
          <w:sz w:val="24"/>
          <w:szCs w:val="24"/>
        </w:rPr>
      </w:pPr>
    </w:p>
    <w:tbl>
      <w:tblPr>
        <w:tblStyle w:val="7"/>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20"/>
        <w:gridCol w:w="555"/>
        <w:gridCol w:w="1065"/>
        <w:gridCol w:w="108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6" w:hRule="atLeast"/>
        </w:trPr>
        <w:tc>
          <w:tcPr>
            <w:tcW w:w="1440" w:type="dxa"/>
            <w:vAlign w:val="center"/>
          </w:tcPr>
          <w:p>
            <w:pPr>
              <w:jc w:val="center"/>
              <w:rPr>
                <w:rFonts w:ascii="仿宋_GB2312" w:hAnsi="宋体" w:eastAsia="仿宋_GB2312" w:cs="Times New Roman"/>
                <w:sz w:val="28"/>
                <w:szCs w:val="28"/>
              </w:rPr>
            </w:pPr>
            <w:r>
              <w:rPr>
                <w:rFonts w:hint="eastAsia" w:ascii="仿宋_GB2312" w:hAnsi="宋体" w:eastAsia="仿宋_GB2312" w:cs="Times New Roman"/>
                <w:sz w:val="28"/>
                <w:szCs w:val="28"/>
              </w:rPr>
              <w:t>姓　名</w:t>
            </w:r>
          </w:p>
        </w:tc>
        <w:tc>
          <w:tcPr>
            <w:tcW w:w="2175" w:type="dxa"/>
            <w:gridSpan w:val="2"/>
            <w:vAlign w:val="center"/>
          </w:tcPr>
          <w:p>
            <w:pPr>
              <w:rPr>
                <w:rFonts w:ascii="仿宋_GB2312" w:hAnsi="宋体" w:eastAsia="仿宋_GB2312" w:cs="Times New Roman"/>
                <w:sz w:val="28"/>
                <w:szCs w:val="28"/>
              </w:rPr>
            </w:pPr>
          </w:p>
        </w:tc>
        <w:tc>
          <w:tcPr>
            <w:tcW w:w="2145" w:type="dxa"/>
            <w:gridSpan w:val="2"/>
            <w:vAlign w:val="center"/>
          </w:tcPr>
          <w:p>
            <w:pPr>
              <w:ind w:left="240"/>
              <w:rPr>
                <w:rFonts w:ascii="仿宋_GB2312" w:hAnsi="宋体" w:eastAsia="仿宋_GB2312" w:cs="Times New Roman"/>
                <w:sz w:val="28"/>
                <w:szCs w:val="28"/>
              </w:rPr>
            </w:pPr>
            <w:r>
              <w:rPr>
                <w:rFonts w:hint="eastAsia" w:ascii="仿宋_GB2312" w:hAnsi="宋体" w:eastAsia="仿宋_GB2312" w:cs="Times New Roman"/>
                <w:sz w:val="28"/>
                <w:szCs w:val="28"/>
              </w:rPr>
              <w:t>CPA证书号</w:t>
            </w:r>
          </w:p>
        </w:tc>
        <w:tc>
          <w:tcPr>
            <w:tcW w:w="3060" w:type="dxa"/>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2" w:hRule="atLeast"/>
        </w:trPr>
        <w:tc>
          <w:tcPr>
            <w:tcW w:w="3060" w:type="dxa"/>
            <w:gridSpan w:val="2"/>
            <w:vAlign w:val="center"/>
          </w:tcPr>
          <w:p>
            <w:pPr>
              <w:ind w:firstLine="280" w:firstLineChars="100"/>
              <w:rPr>
                <w:rFonts w:ascii="仿宋_GB2312" w:hAnsi="宋体" w:eastAsia="仿宋_GB2312" w:cs="Times New Roman"/>
                <w:sz w:val="28"/>
                <w:szCs w:val="28"/>
              </w:rPr>
            </w:pPr>
            <w:r>
              <w:rPr>
                <w:rFonts w:hint="eastAsia" w:ascii="仿宋_GB2312" w:hAnsi="宋体" w:eastAsia="仿宋_GB2312" w:cs="Times New Roman"/>
                <w:sz w:val="28"/>
                <w:szCs w:val="28"/>
              </w:rPr>
              <w:t>转出事务所名称</w:t>
            </w:r>
          </w:p>
        </w:tc>
        <w:tc>
          <w:tcPr>
            <w:tcW w:w="5760" w:type="dxa"/>
            <w:gridSpan w:val="4"/>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2" w:hRule="atLeast"/>
        </w:trPr>
        <w:tc>
          <w:tcPr>
            <w:tcW w:w="3060" w:type="dxa"/>
            <w:gridSpan w:val="2"/>
            <w:vAlign w:val="center"/>
          </w:tcPr>
          <w:p>
            <w:pPr>
              <w:ind w:firstLine="280" w:firstLineChars="100"/>
              <w:rPr>
                <w:rFonts w:ascii="仿宋_GB2312" w:hAnsi="宋体" w:eastAsia="仿宋_GB2312" w:cs="Times New Roman"/>
                <w:sz w:val="28"/>
                <w:szCs w:val="28"/>
              </w:rPr>
            </w:pPr>
            <w:r>
              <w:rPr>
                <w:rFonts w:hint="eastAsia" w:ascii="仿宋_GB2312" w:hAnsi="宋体" w:eastAsia="仿宋_GB2312" w:cs="Times New Roman"/>
                <w:sz w:val="28"/>
                <w:szCs w:val="28"/>
              </w:rPr>
              <w:t>转入事务所名称</w:t>
            </w:r>
          </w:p>
        </w:tc>
        <w:tc>
          <w:tcPr>
            <w:tcW w:w="5760" w:type="dxa"/>
            <w:gridSpan w:val="4"/>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trPr>
        <w:tc>
          <w:tcPr>
            <w:tcW w:w="8820" w:type="dxa"/>
            <w:gridSpan w:val="6"/>
            <w:vAlign w:val="center"/>
          </w:tcPr>
          <w:p>
            <w:pPr>
              <w:rPr>
                <w:rFonts w:ascii="仿宋_GB2312" w:hAnsi="宋体" w:eastAsia="仿宋_GB2312" w:cs="Times New Roman"/>
                <w:b/>
                <w:bCs/>
                <w:sz w:val="28"/>
                <w:szCs w:val="28"/>
              </w:rPr>
            </w:pPr>
            <w:r>
              <w:rPr>
                <w:rFonts w:hint="eastAsia" w:ascii="仿宋_GB2312" w:hAnsi="宋体" w:eastAsia="仿宋_GB2312" w:cs="Times New Roman"/>
                <w:b/>
                <w:bCs/>
                <w:sz w:val="28"/>
                <w:szCs w:val="28"/>
              </w:rPr>
              <w:t>以下信息由转出事务所所在地方注协填写：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 w:hRule="atLeast"/>
        </w:trPr>
        <w:tc>
          <w:tcPr>
            <w:tcW w:w="4680" w:type="dxa"/>
            <w:gridSpan w:val="4"/>
            <w:vAlign w:val="center"/>
          </w:tcPr>
          <w:p>
            <w:pPr>
              <w:ind w:left="252"/>
              <w:rPr>
                <w:rFonts w:ascii="仿宋_GB2312" w:hAnsi="宋体" w:eastAsia="仿宋_GB2312" w:cs="Times New Roman"/>
                <w:sz w:val="28"/>
                <w:szCs w:val="28"/>
              </w:rPr>
            </w:pPr>
            <w:r>
              <w:rPr>
                <w:rFonts w:hint="eastAsia" w:ascii="仿宋_GB2312" w:hAnsi="宋体" w:eastAsia="仿宋_GB2312" w:cs="Times New Roman"/>
                <w:sz w:val="28"/>
                <w:szCs w:val="28"/>
              </w:rPr>
              <w:t>本年度已完成培训学时数</w:t>
            </w:r>
          </w:p>
        </w:tc>
        <w:tc>
          <w:tcPr>
            <w:tcW w:w="4140" w:type="dxa"/>
            <w:gridSpan w:val="2"/>
            <w:vAlign w:val="center"/>
          </w:tcPr>
          <w:p>
            <w:pPr>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5" w:hRule="atLeast"/>
        </w:trPr>
        <w:tc>
          <w:tcPr>
            <w:tcW w:w="8820" w:type="dxa"/>
            <w:gridSpan w:val="6"/>
            <w:vAlign w:val="center"/>
          </w:tcPr>
          <w:p>
            <w:pPr>
              <w:ind w:firstLine="280" w:firstLineChars="100"/>
              <w:rPr>
                <w:rFonts w:ascii="仿宋_GB2312" w:hAnsi="宋体" w:eastAsia="仿宋_GB2312" w:cs="Times New Roman"/>
                <w:sz w:val="28"/>
                <w:szCs w:val="28"/>
              </w:rPr>
            </w:pPr>
            <w:r>
              <w:rPr>
                <w:rFonts w:hint="eastAsia" w:ascii="仿宋_GB2312" w:hAnsi="宋体" w:eastAsia="仿宋_GB2312" w:cs="Times New Roman"/>
                <w:sz w:val="28"/>
                <w:szCs w:val="28"/>
              </w:rPr>
              <w:t>特此证明。</w:t>
            </w:r>
          </w:p>
          <w:p>
            <w:pPr>
              <w:ind w:firstLine="560" w:firstLineChars="200"/>
              <w:rPr>
                <w:rFonts w:ascii="仿宋_GB2312" w:hAnsi="宋体" w:eastAsia="仿宋_GB2312" w:cs="Times New Roman"/>
                <w:sz w:val="28"/>
                <w:szCs w:val="28"/>
              </w:rPr>
            </w:pPr>
          </w:p>
          <w:p>
            <w:pPr>
              <w:ind w:firstLine="560" w:firstLineChars="200"/>
              <w:rPr>
                <w:rFonts w:ascii="仿宋_GB2312" w:hAnsi="宋体" w:eastAsia="仿宋_GB2312" w:cs="Times New Roman"/>
                <w:sz w:val="28"/>
                <w:szCs w:val="28"/>
              </w:rPr>
            </w:pPr>
          </w:p>
          <w:p>
            <w:pPr>
              <w:ind w:firstLine="4760" w:firstLineChars="1700"/>
              <w:rPr>
                <w:rFonts w:ascii="仿宋_GB2312" w:hAnsi="宋体" w:eastAsia="仿宋_GB2312" w:cs="Times New Roman"/>
                <w:sz w:val="28"/>
                <w:szCs w:val="28"/>
              </w:rPr>
            </w:pPr>
            <w:r>
              <w:rPr>
                <w:rFonts w:hint="eastAsia" w:ascii="仿宋_GB2312" w:hAnsi="宋体" w:eastAsia="仿宋_GB2312" w:cs="Times New Roman"/>
                <w:sz w:val="28"/>
                <w:szCs w:val="28"/>
              </w:rPr>
              <w:t>（转出注协盖章处）</w:t>
            </w:r>
          </w:p>
          <w:p>
            <w:pPr>
              <w:ind w:firstLine="5040" w:firstLineChars="1800"/>
              <w:rPr>
                <w:rFonts w:ascii="仿宋_GB2312" w:hAnsi="宋体" w:eastAsia="仿宋_GB2312" w:cs="Times New Roman"/>
                <w:sz w:val="28"/>
                <w:szCs w:val="28"/>
              </w:rPr>
            </w:pPr>
            <w:r>
              <w:rPr>
                <w:rFonts w:hint="eastAsia" w:ascii="仿宋_GB2312" w:hAnsi="宋体" w:eastAsia="仿宋_GB2312" w:cs="Times New Roman"/>
                <w:sz w:val="28"/>
                <w:szCs w:val="28"/>
              </w:rPr>
              <w:t>年　　月　　日</w:t>
            </w:r>
          </w:p>
        </w:tc>
      </w:tr>
    </w:tbl>
    <w:p>
      <w:pPr>
        <w:rPr>
          <w:rFonts w:ascii="仿宋_GB2312" w:hAnsi="宋体" w:eastAsia="仿宋_GB2312" w:cs="Times New Roman"/>
          <w:sz w:val="24"/>
          <w:szCs w:val="24"/>
        </w:rPr>
      </w:pPr>
    </w:p>
    <w:p>
      <w:pPr>
        <w:spacing w:line="340" w:lineRule="exact"/>
        <w:rPr>
          <w:rFonts w:ascii="仿宋_GB2312" w:hAnsi="宋体" w:eastAsia="仿宋_GB2312" w:cs="Times New Roman"/>
          <w:sz w:val="24"/>
          <w:szCs w:val="24"/>
        </w:rPr>
      </w:pPr>
      <w:r>
        <w:rPr>
          <w:rFonts w:hint="eastAsia" w:ascii="仿宋_GB2312" w:hAnsi="宋体" w:eastAsia="仿宋_GB2312" w:cs="Times New Roman"/>
          <w:sz w:val="24"/>
          <w:szCs w:val="24"/>
        </w:rPr>
        <w:t>说明： 1.注册会计师跨省转所时填写此表；</w:t>
      </w:r>
    </w:p>
    <w:p>
      <w:pPr>
        <w:spacing w:line="340" w:lineRule="exact"/>
        <w:ind w:firstLine="840" w:firstLineChars="350"/>
        <w:rPr>
          <w:rFonts w:ascii="仿宋_GB2312" w:hAnsi="宋体" w:eastAsia="仿宋_GB2312" w:cs="Times New Roman"/>
          <w:sz w:val="24"/>
          <w:szCs w:val="24"/>
        </w:rPr>
      </w:pPr>
      <w:r>
        <w:rPr>
          <w:rFonts w:hint="eastAsia" w:ascii="仿宋_GB2312" w:hAnsi="宋体" w:eastAsia="仿宋_GB2312" w:cs="Times New Roman"/>
          <w:sz w:val="24"/>
          <w:szCs w:val="24"/>
        </w:rPr>
        <w:t>2.转入地方注协根据此证明确认注册会计师完成的培训学时数；</w:t>
      </w:r>
    </w:p>
    <w:p>
      <w:pPr>
        <w:spacing w:line="340" w:lineRule="exact"/>
        <w:ind w:firstLine="840" w:firstLineChars="350"/>
        <w:rPr>
          <w:rFonts w:ascii="仿宋" w:hAnsi="仿宋" w:eastAsia="仿宋"/>
          <w:sz w:val="32"/>
          <w:szCs w:val="32"/>
        </w:rPr>
      </w:pPr>
      <w:r>
        <w:rPr>
          <w:rFonts w:hint="eastAsia" w:ascii="仿宋_GB2312" w:hAnsi="宋体" w:eastAsia="仿宋_GB2312" w:cs="Times New Roman"/>
          <w:sz w:val="24"/>
          <w:szCs w:val="24"/>
        </w:rPr>
        <w:t>3.本表一式三份，转出、转入地方注协和注册会计师本人各留存一份。</w:t>
      </w:r>
    </w:p>
    <w:p>
      <w:pPr>
        <w:adjustRightInd w:val="0"/>
        <w:snapToGrid w:val="0"/>
        <w:spacing w:line="560" w:lineRule="atLeast"/>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9241508"/>
      <w:docPartObj>
        <w:docPartGallery w:val="autotext"/>
      </w:docPartObj>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1E"/>
    <w:rsid w:val="00011488"/>
    <w:rsid w:val="000205E3"/>
    <w:rsid w:val="0003608A"/>
    <w:rsid w:val="00040940"/>
    <w:rsid w:val="00041F51"/>
    <w:rsid w:val="0006032B"/>
    <w:rsid w:val="000914E2"/>
    <w:rsid w:val="000A7AF8"/>
    <w:rsid w:val="000C2FC2"/>
    <w:rsid w:val="000C7927"/>
    <w:rsid w:val="00112A28"/>
    <w:rsid w:val="001535AE"/>
    <w:rsid w:val="001B5398"/>
    <w:rsid w:val="001C3F14"/>
    <w:rsid w:val="001F76AB"/>
    <w:rsid w:val="00211B6D"/>
    <w:rsid w:val="00225256"/>
    <w:rsid w:val="002432B8"/>
    <w:rsid w:val="002435B9"/>
    <w:rsid w:val="00255BBB"/>
    <w:rsid w:val="0026721F"/>
    <w:rsid w:val="00270CD6"/>
    <w:rsid w:val="00292A7C"/>
    <w:rsid w:val="002B28A7"/>
    <w:rsid w:val="002C49A2"/>
    <w:rsid w:val="002C7859"/>
    <w:rsid w:val="002D132F"/>
    <w:rsid w:val="003068E7"/>
    <w:rsid w:val="00355A93"/>
    <w:rsid w:val="00360DD8"/>
    <w:rsid w:val="00401E6B"/>
    <w:rsid w:val="00446DFB"/>
    <w:rsid w:val="0045588D"/>
    <w:rsid w:val="004657CF"/>
    <w:rsid w:val="004A7F41"/>
    <w:rsid w:val="004C02A0"/>
    <w:rsid w:val="004C3C24"/>
    <w:rsid w:val="004C4980"/>
    <w:rsid w:val="004D122E"/>
    <w:rsid w:val="0055092F"/>
    <w:rsid w:val="005536B7"/>
    <w:rsid w:val="005658C4"/>
    <w:rsid w:val="0057160A"/>
    <w:rsid w:val="00576718"/>
    <w:rsid w:val="005A24E1"/>
    <w:rsid w:val="005B2876"/>
    <w:rsid w:val="005E213F"/>
    <w:rsid w:val="005E68C7"/>
    <w:rsid w:val="005F0198"/>
    <w:rsid w:val="00604595"/>
    <w:rsid w:val="00606E27"/>
    <w:rsid w:val="00630F8F"/>
    <w:rsid w:val="00635DCB"/>
    <w:rsid w:val="0068140A"/>
    <w:rsid w:val="00684231"/>
    <w:rsid w:val="006B7154"/>
    <w:rsid w:val="006D7833"/>
    <w:rsid w:val="007418D3"/>
    <w:rsid w:val="0075686D"/>
    <w:rsid w:val="007A2995"/>
    <w:rsid w:val="007D0562"/>
    <w:rsid w:val="007E5710"/>
    <w:rsid w:val="00805A12"/>
    <w:rsid w:val="0081120C"/>
    <w:rsid w:val="00825FAB"/>
    <w:rsid w:val="00840989"/>
    <w:rsid w:val="008E0A58"/>
    <w:rsid w:val="00993084"/>
    <w:rsid w:val="009A3320"/>
    <w:rsid w:val="009F543F"/>
    <w:rsid w:val="00A13455"/>
    <w:rsid w:val="00A14803"/>
    <w:rsid w:val="00A150AB"/>
    <w:rsid w:val="00A23770"/>
    <w:rsid w:val="00A35F46"/>
    <w:rsid w:val="00A50460"/>
    <w:rsid w:val="00A62C40"/>
    <w:rsid w:val="00A71773"/>
    <w:rsid w:val="00A76859"/>
    <w:rsid w:val="00AA3C6E"/>
    <w:rsid w:val="00AD4F01"/>
    <w:rsid w:val="00AD75A1"/>
    <w:rsid w:val="00B010C1"/>
    <w:rsid w:val="00B0484C"/>
    <w:rsid w:val="00B511D7"/>
    <w:rsid w:val="00B51BE1"/>
    <w:rsid w:val="00B63B11"/>
    <w:rsid w:val="00B75F1C"/>
    <w:rsid w:val="00B90D9D"/>
    <w:rsid w:val="00B96E3A"/>
    <w:rsid w:val="00BA4A15"/>
    <w:rsid w:val="00BD3861"/>
    <w:rsid w:val="00BD5B63"/>
    <w:rsid w:val="00C24BDC"/>
    <w:rsid w:val="00C67D57"/>
    <w:rsid w:val="00C70243"/>
    <w:rsid w:val="00CB211E"/>
    <w:rsid w:val="00CE6A19"/>
    <w:rsid w:val="00D00D0C"/>
    <w:rsid w:val="00D34BB8"/>
    <w:rsid w:val="00D37550"/>
    <w:rsid w:val="00D534EB"/>
    <w:rsid w:val="00D759D6"/>
    <w:rsid w:val="00D82051"/>
    <w:rsid w:val="00DC558E"/>
    <w:rsid w:val="00DD0C19"/>
    <w:rsid w:val="00DD2872"/>
    <w:rsid w:val="00DE3A2C"/>
    <w:rsid w:val="00E33711"/>
    <w:rsid w:val="00E62317"/>
    <w:rsid w:val="00EF4D9F"/>
    <w:rsid w:val="00F213DB"/>
    <w:rsid w:val="00F42F1F"/>
    <w:rsid w:val="00F62917"/>
    <w:rsid w:val="00FA14EE"/>
    <w:rsid w:val="00FA689E"/>
    <w:rsid w:val="00FD36FA"/>
    <w:rsid w:val="00FD7105"/>
    <w:rsid w:val="00FF3CD7"/>
    <w:rsid w:val="00FF7269"/>
    <w:rsid w:val="149134F4"/>
    <w:rsid w:val="2DF867B8"/>
    <w:rsid w:val="3DFF5235"/>
    <w:rsid w:val="42D766B0"/>
    <w:rsid w:val="434C00F5"/>
    <w:rsid w:val="523846F8"/>
    <w:rsid w:val="59CA714F"/>
    <w:rsid w:val="5D533198"/>
    <w:rsid w:val="6E862627"/>
    <w:rsid w:val="7FE27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批注文字 Char"/>
    <w:basedOn w:val="8"/>
    <w:link w:val="2"/>
    <w:semiHidden/>
    <w:qFormat/>
    <w:uiPriority w:val="99"/>
  </w:style>
  <w:style w:type="character" w:customStyle="1" w:styleId="14">
    <w:name w:val="批注主题 Char"/>
    <w:basedOn w:val="13"/>
    <w:link w:val="6"/>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657</Words>
  <Characters>3751</Characters>
  <Lines>31</Lines>
  <Paragraphs>8</Paragraphs>
  <TotalTime>12</TotalTime>
  <ScaleCrop>false</ScaleCrop>
  <LinksUpToDate>false</LinksUpToDate>
  <CharactersWithSpaces>4400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2021-11-17T12:04:00Z</dcterms:created>
  <dc:creator>李丽</dc:creator>
  <cp:lastModifiedBy>Administrator</cp:lastModifiedBy>
  <cp:lastPrinted>2021-11-24T08:42:00Z</cp:lastPrinted>
  <dcterms:modified xsi:type="dcterms:W3CDTF">2022-03-01T07:03:56Z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